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1DD" w:rsidRDefault="00ED31DD" w:rsidP="00AA60B1">
      <w:pPr>
        <w:spacing w:line="360" w:lineRule="auto"/>
        <w:jc w:val="center"/>
        <w:rPr>
          <w:b/>
          <w:lang w:val="en-US"/>
        </w:rPr>
      </w:pPr>
      <w:r>
        <w:rPr>
          <w:b/>
          <w:lang w:val="en-US"/>
        </w:rPr>
        <w:t>Federal State Budgetary Institution of Science</w:t>
      </w:r>
    </w:p>
    <w:p w:rsidR="00ED31DD" w:rsidRDefault="00ED31DD" w:rsidP="00AA60B1">
      <w:pPr>
        <w:spacing w:line="360" w:lineRule="auto"/>
        <w:jc w:val="center"/>
        <w:rPr>
          <w:b/>
          <w:lang w:val="en-US"/>
        </w:rPr>
      </w:pPr>
      <w:r>
        <w:rPr>
          <w:b/>
          <w:lang w:val="en-US"/>
        </w:rPr>
        <w:t>Research Station of the Russian Academy of Sciences in Bishkek (RS RAS)</w:t>
      </w:r>
    </w:p>
    <w:p w:rsidR="000C6CBA" w:rsidRDefault="000C6CBA" w:rsidP="00AA60B1">
      <w:pPr>
        <w:spacing w:line="360" w:lineRule="auto"/>
        <w:jc w:val="center"/>
        <w:rPr>
          <w:b/>
          <w:lang w:val="en-US"/>
        </w:rPr>
      </w:pPr>
    </w:p>
    <w:p w:rsidR="00ED31DD" w:rsidRDefault="00ED31DD" w:rsidP="00AA60B1">
      <w:pPr>
        <w:spacing w:line="360" w:lineRule="auto"/>
        <w:jc w:val="center"/>
        <w:rPr>
          <w:b/>
          <w:lang w:val="en-US"/>
        </w:rPr>
      </w:pPr>
      <w:r>
        <w:rPr>
          <w:b/>
          <w:lang w:val="en-US"/>
        </w:rPr>
        <w:t>Major Results of 2017</w:t>
      </w:r>
    </w:p>
    <w:p w:rsidR="001766CF" w:rsidRPr="006F39FB" w:rsidRDefault="001766CF" w:rsidP="00AA60B1">
      <w:pPr>
        <w:spacing w:line="360" w:lineRule="auto"/>
        <w:jc w:val="center"/>
        <w:rPr>
          <w:b/>
          <w:lang w:val="en-US"/>
        </w:rPr>
      </w:pPr>
    </w:p>
    <w:p w:rsidR="006B2E03" w:rsidRPr="006F39FB" w:rsidRDefault="00ED31DD" w:rsidP="00AA60B1">
      <w:pPr>
        <w:spacing w:line="360" w:lineRule="auto"/>
        <w:jc w:val="center"/>
        <w:rPr>
          <w:b/>
          <w:lang w:val="en-US"/>
        </w:rPr>
      </w:pPr>
      <w:r>
        <w:rPr>
          <w:b/>
          <w:lang w:val="en-US"/>
        </w:rPr>
        <w:t>Result</w:t>
      </w:r>
      <w:r w:rsidR="002732E5" w:rsidRPr="006F39FB">
        <w:rPr>
          <w:b/>
          <w:lang w:val="en-US"/>
        </w:rPr>
        <w:t xml:space="preserve"> №1</w:t>
      </w:r>
    </w:p>
    <w:p w:rsidR="000C6CBA" w:rsidRDefault="000C6CBA" w:rsidP="00AA60B1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39FB" w:rsidRDefault="00E22D30" w:rsidP="00AA60B1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F39FB">
        <w:rPr>
          <w:rFonts w:ascii="Times New Roman" w:hAnsi="Times New Roman" w:cs="Times New Roman"/>
          <w:sz w:val="24"/>
          <w:szCs w:val="24"/>
          <w:lang w:val="en-US"/>
        </w:rPr>
        <w:t>new b</w:t>
      </w:r>
      <w:r w:rsidR="006F39FB" w:rsidRPr="006F39FB">
        <w:rPr>
          <w:rFonts w:ascii="Times New Roman" w:hAnsi="Times New Roman" w:cs="Times New Roman"/>
          <w:sz w:val="24"/>
          <w:szCs w:val="24"/>
          <w:lang w:val="en-US"/>
        </w:rPr>
        <w:t>readboard</w:t>
      </w:r>
      <w:r w:rsidR="006F39FB">
        <w:rPr>
          <w:rFonts w:ascii="Times New Roman" w:hAnsi="Times New Roman" w:cs="Times New Roman"/>
          <w:sz w:val="24"/>
          <w:szCs w:val="24"/>
          <w:lang w:val="en-US"/>
        </w:rPr>
        <w:t xml:space="preserve"> model of </w:t>
      </w:r>
      <w:r w:rsidR="006F39FB" w:rsidRPr="006F39FB">
        <w:rPr>
          <w:rFonts w:ascii="Times New Roman" w:hAnsi="Times New Roman" w:cs="Times New Roman"/>
          <w:sz w:val="24"/>
          <w:szCs w:val="24"/>
          <w:lang w:val="en-US"/>
        </w:rPr>
        <w:t>electrical survey</w:t>
      </w:r>
      <w:r w:rsidR="006F39FB">
        <w:rPr>
          <w:rFonts w:ascii="Times New Roman" w:hAnsi="Times New Roman" w:cs="Times New Roman"/>
          <w:sz w:val="24"/>
          <w:szCs w:val="24"/>
          <w:lang w:val="en-US"/>
        </w:rPr>
        <w:t xml:space="preserve"> equipment with </w:t>
      </w:r>
      <w:r w:rsidR="006F39FB" w:rsidRPr="006F39FB">
        <w:rPr>
          <w:rFonts w:ascii="Times New Roman" w:hAnsi="Times New Roman" w:cs="Times New Roman"/>
          <w:sz w:val="24"/>
          <w:szCs w:val="24"/>
          <w:lang w:val="en-US"/>
        </w:rPr>
        <w:t>noise-like signal</w:t>
      </w:r>
      <w:r w:rsidR="005104A9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FF709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F7091" w:rsidRPr="002732E5">
        <w:rPr>
          <w:rFonts w:ascii="Times New Roman" w:hAnsi="Times New Roman" w:cs="Times New Roman"/>
          <w:sz w:val="24"/>
          <w:szCs w:val="24"/>
        </w:rPr>
        <w:t>ЭРК</w:t>
      </w:r>
      <w:r w:rsidR="00FF7091" w:rsidRPr="00FF709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F7091" w:rsidRPr="002732E5">
        <w:rPr>
          <w:rFonts w:ascii="Times New Roman" w:hAnsi="Times New Roman" w:cs="Times New Roman"/>
          <w:sz w:val="24"/>
          <w:szCs w:val="24"/>
        </w:rPr>
        <w:t>ШПС</w:t>
      </w:r>
      <w:r w:rsidR="00FF709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5104A9">
        <w:rPr>
          <w:rFonts w:ascii="Times New Roman" w:hAnsi="Times New Roman" w:cs="Times New Roman"/>
          <w:sz w:val="24"/>
          <w:szCs w:val="24"/>
          <w:lang w:val="en-US"/>
        </w:rPr>
        <w:t xml:space="preserve">notable for advanced </w:t>
      </w:r>
      <w:r w:rsidR="005104A9" w:rsidRPr="005104A9">
        <w:rPr>
          <w:rFonts w:ascii="Times New Roman" w:hAnsi="Times New Roman" w:cs="Times New Roman"/>
          <w:sz w:val="24"/>
          <w:szCs w:val="24"/>
          <w:lang w:val="en-US"/>
        </w:rPr>
        <w:t>technical features</w:t>
      </w:r>
      <w:r w:rsidR="005104A9">
        <w:rPr>
          <w:rFonts w:ascii="Times New Roman" w:hAnsi="Times New Roman" w:cs="Times New Roman"/>
          <w:sz w:val="24"/>
          <w:szCs w:val="24"/>
          <w:lang w:val="en-US"/>
        </w:rPr>
        <w:t xml:space="preserve"> and parameters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was developed and constructed </w:t>
      </w:r>
      <w:r w:rsidR="005104A9">
        <w:rPr>
          <w:rFonts w:ascii="Times New Roman" w:hAnsi="Times New Roman" w:cs="Times New Roman"/>
          <w:sz w:val="24"/>
          <w:szCs w:val="24"/>
          <w:lang w:val="en-US"/>
        </w:rPr>
        <w:t>(fig.1).</w:t>
      </w:r>
      <w:r w:rsidR="00FF7091">
        <w:rPr>
          <w:rFonts w:ascii="Times New Roman" w:hAnsi="Times New Roman" w:cs="Times New Roman"/>
          <w:sz w:val="24"/>
          <w:szCs w:val="24"/>
          <w:lang w:val="en-US"/>
        </w:rPr>
        <w:t xml:space="preserve"> Laboratory </w:t>
      </w:r>
      <w:r w:rsidR="00DC0E80">
        <w:rPr>
          <w:rFonts w:ascii="Times New Roman" w:hAnsi="Times New Roman" w:cs="Times New Roman"/>
          <w:sz w:val="24"/>
          <w:szCs w:val="24"/>
          <w:lang w:val="en-US"/>
        </w:rPr>
        <w:t xml:space="preserve">measurements of signal-noise ratio As/An for two breadboard </w:t>
      </w:r>
      <w:r w:rsidR="00DC0E80" w:rsidRPr="002732E5">
        <w:rPr>
          <w:rFonts w:ascii="Times New Roman" w:hAnsi="Times New Roman" w:cs="Times New Roman"/>
          <w:sz w:val="24"/>
          <w:szCs w:val="24"/>
        </w:rPr>
        <w:t>ЭРК</w:t>
      </w:r>
      <w:r w:rsidR="00DC0E80" w:rsidRPr="00FF709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C0E80" w:rsidRPr="002732E5">
        <w:rPr>
          <w:rFonts w:ascii="Times New Roman" w:hAnsi="Times New Roman" w:cs="Times New Roman"/>
          <w:sz w:val="24"/>
          <w:szCs w:val="24"/>
        </w:rPr>
        <w:t>ШПС</w:t>
      </w:r>
      <w:r w:rsidR="00DC0E80">
        <w:rPr>
          <w:rFonts w:ascii="Times New Roman" w:hAnsi="Times New Roman" w:cs="Times New Roman"/>
          <w:sz w:val="24"/>
          <w:szCs w:val="24"/>
          <w:lang w:val="en-US"/>
        </w:rPr>
        <w:t xml:space="preserve"> models showed </w:t>
      </w:r>
      <w:r w:rsidR="00DE0887">
        <w:rPr>
          <w:rFonts w:ascii="Times New Roman" w:hAnsi="Times New Roman" w:cs="Times New Roman"/>
          <w:sz w:val="24"/>
          <w:szCs w:val="24"/>
          <w:lang w:val="en-US"/>
        </w:rPr>
        <w:t xml:space="preserve">that the </w:t>
      </w:r>
      <w:r w:rsidR="00DC0E80">
        <w:rPr>
          <w:rFonts w:ascii="Times New Roman" w:hAnsi="Times New Roman" w:cs="Times New Roman"/>
          <w:sz w:val="24"/>
          <w:szCs w:val="24"/>
          <w:lang w:val="en-US"/>
        </w:rPr>
        <w:t xml:space="preserve">signal-noise ratio measured for the new </w:t>
      </w:r>
      <w:r w:rsidR="00DC0E80" w:rsidRPr="002732E5">
        <w:rPr>
          <w:rFonts w:ascii="Times New Roman" w:hAnsi="Times New Roman" w:cs="Times New Roman"/>
          <w:sz w:val="24"/>
          <w:szCs w:val="24"/>
        </w:rPr>
        <w:t>ЭРК</w:t>
      </w:r>
      <w:r w:rsidR="00DC0E80" w:rsidRPr="00DC0E8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C0E80" w:rsidRPr="002732E5">
        <w:rPr>
          <w:rFonts w:ascii="Times New Roman" w:hAnsi="Times New Roman" w:cs="Times New Roman"/>
          <w:sz w:val="24"/>
          <w:szCs w:val="24"/>
        </w:rPr>
        <w:t>ШПС</w:t>
      </w:r>
      <w:r w:rsidR="00DC0E80">
        <w:rPr>
          <w:rFonts w:ascii="Times New Roman" w:hAnsi="Times New Roman" w:cs="Times New Roman"/>
          <w:sz w:val="24"/>
          <w:szCs w:val="24"/>
          <w:lang w:val="en-US"/>
        </w:rPr>
        <w:t xml:space="preserve"> model </w:t>
      </w:r>
      <w:r w:rsidR="00DE0887">
        <w:rPr>
          <w:rFonts w:ascii="Times New Roman" w:hAnsi="Times New Roman" w:cs="Times New Roman"/>
          <w:sz w:val="24"/>
          <w:szCs w:val="24"/>
          <w:lang w:val="en-US"/>
        </w:rPr>
        <w:t xml:space="preserve">increased by 22 dB (12.6 times) </w:t>
      </w:r>
      <w:r w:rsidR="00DC0E80">
        <w:rPr>
          <w:rFonts w:ascii="Times New Roman" w:hAnsi="Times New Roman" w:cs="Times New Roman"/>
          <w:sz w:val="24"/>
          <w:szCs w:val="24"/>
          <w:lang w:val="en-US"/>
        </w:rPr>
        <w:t xml:space="preserve">in comparison with the model constructed earlier. </w:t>
      </w:r>
    </w:p>
    <w:p w:rsidR="002732E5" w:rsidRPr="00BC07A6" w:rsidRDefault="00E61CDB" w:rsidP="00BC07A6">
      <w:pPr>
        <w:spacing w:after="120" w:line="360" w:lineRule="auto"/>
        <w:ind w:firstLine="709"/>
        <w:jc w:val="both"/>
        <w:rPr>
          <w:lang w:val="en-US"/>
        </w:rPr>
      </w:pPr>
      <w:r>
        <w:rPr>
          <w:lang w:val="en-US"/>
        </w:rPr>
        <w:t xml:space="preserve">The </w:t>
      </w:r>
      <w:r w:rsidRPr="002732E5">
        <w:t>ЭРК</w:t>
      </w:r>
      <w:r w:rsidRPr="00E61CDB">
        <w:rPr>
          <w:lang w:val="en-US"/>
        </w:rPr>
        <w:t> </w:t>
      </w:r>
      <w:r w:rsidRPr="002732E5">
        <w:t>ШПС</w:t>
      </w:r>
      <w:r w:rsidR="00B4381F">
        <w:rPr>
          <w:lang w:val="en-US"/>
        </w:rPr>
        <w:t xml:space="preserve"> measuring complex is meant</w:t>
      </w:r>
      <w:r w:rsidR="00BC07A6">
        <w:rPr>
          <w:lang w:val="en-US"/>
        </w:rPr>
        <w:t xml:space="preserve"> to be used in electromagnetic monitoring of stressed and deformed state of the Earth’s crust</w:t>
      </w:r>
      <w:r w:rsidR="00B4381F">
        <w:rPr>
          <w:lang w:val="en-US"/>
        </w:rPr>
        <w:t xml:space="preserve"> at measuring Bishkek Geodynamic Proving G</w:t>
      </w:r>
      <w:r w:rsidR="00BC07A6">
        <w:rPr>
          <w:lang w:val="en-US"/>
        </w:rPr>
        <w:t>round</w:t>
      </w:r>
      <w:r w:rsidR="00B4381F">
        <w:rPr>
          <w:lang w:val="en-US"/>
        </w:rPr>
        <w:t xml:space="preserve"> (BGPG) sites</w:t>
      </w:r>
      <w:r w:rsidR="00BC07A6">
        <w:rPr>
          <w:lang w:val="en-US"/>
        </w:rPr>
        <w:t xml:space="preserve">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2732E5" w:rsidTr="002732E5">
        <w:tc>
          <w:tcPr>
            <w:tcW w:w="9912" w:type="dxa"/>
          </w:tcPr>
          <w:p w:rsidR="007E4428" w:rsidRDefault="002732E5" w:rsidP="00AA60B1">
            <w:pPr>
              <w:spacing w:before="240" w:after="240" w:line="360" w:lineRule="auto"/>
              <w:jc w:val="center"/>
            </w:pPr>
            <w:r w:rsidRPr="002732E5">
              <w:rPr>
                <w:noProof/>
              </w:rPr>
              <w:drawing>
                <wp:inline distT="0" distB="0" distL="0" distR="0" wp14:anchorId="66F006C3" wp14:editId="21405104">
                  <wp:extent cx="5806826" cy="3519377"/>
                  <wp:effectExtent l="0" t="0" r="381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Фото ЭРК ШПС_(ред)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198" cy="357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2E5" w:rsidRPr="00B4381F" w:rsidTr="002732E5">
        <w:tc>
          <w:tcPr>
            <w:tcW w:w="9912" w:type="dxa"/>
          </w:tcPr>
          <w:p w:rsidR="00D41985" w:rsidRDefault="00D41985" w:rsidP="00D41985">
            <w:pPr>
              <w:spacing w:line="276" w:lineRule="auto"/>
              <w:contextualSpacing/>
              <w:rPr>
                <w:lang w:val="en-US"/>
              </w:rPr>
            </w:pPr>
            <w:r>
              <w:rPr>
                <w:lang w:val="en-US"/>
              </w:rPr>
              <w:t>Figure</w:t>
            </w:r>
            <w:r w:rsidRPr="00D41985">
              <w:rPr>
                <w:lang w:val="en-US"/>
              </w:rPr>
              <w:t xml:space="preserve"> </w:t>
            </w:r>
            <w:r w:rsidR="002732E5" w:rsidRPr="00D41985">
              <w:rPr>
                <w:lang w:val="en-US"/>
              </w:rPr>
              <w:t>1</w:t>
            </w:r>
            <w:r w:rsidR="002B2859" w:rsidRPr="00D41985">
              <w:rPr>
                <w:lang w:val="en-US"/>
              </w:rPr>
              <w:t xml:space="preserve"> – </w:t>
            </w:r>
            <w:r>
              <w:rPr>
                <w:lang w:val="en-US"/>
              </w:rPr>
              <w:t>External</w:t>
            </w:r>
            <w:r w:rsidRPr="00D41985">
              <w:rPr>
                <w:lang w:val="en-US"/>
              </w:rPr>
              <w:t xml:space="preserve"> </w:t>
            </w:r>
            <w:r>
              <w:rPr>
                <w:lang w:val="en-US"/>
              </w:rPr>
              <w:t>view</w:t>
            </w:r>
            <w:r w:rsidRPr="00D41985">
              <w:rPr>
                <w:lang w:val="en-US"/>
              </w:rPr>
              <w:t xml:space="preserve"> </w:t>
            </w:r>
            <w:r>
              <w:rPr>
                <w:lang w:val="en-US"/>
              </w:rPr>
              <w:t>of measuring</w:t>
            </w:r>
            <w:r w:rsidRPr="00D41985">
              <w:rPr>
                <w:lang w:val="en-US"/>
              </w:rPr>
              <w:t xml:space="preserve"> </w:t>
            </w:r>
            <w:r>
              <w:rPr>
                <w:lang w:val="en-US"/>
              </w:rPr>
              <w:t>channel</w:t>
            </w:r>
            <w:r w:rsidRPr="00D41985">
              <w:rPr>
                <w:lang w:val="en-US"/>
              </w:rPr>
              <w:t xml:space="preserve"> </w:t>
            </w:r>
            <w:r>
              <w:rPr>
                <w:lang w:val="en-US"/>
              </w:rPr>
              <w:t>of</w:t>
            </w:r>
            <w:r w:rsidRPr="00D41985">
              <w:rPr>
                <w:lang w:val="en-US"/>
              </w:rPr>
              <w:t xml:space="preserve"> </w:t>
            </w:r>
            <w:r w:rsidR="00B4381F">
              <w:rPr>
                <w:lang w:val="en-US"/>
              </w:rPr>
              <w:t>a</w:t>
            </w:r>
            <w:r w:rsidRPr="00D41985">
              <w:rPr>
                <w:lang w:val="en-US"/>
              </w:rPr>
              <w:t xml:space="preserve"> </w:t>
            </w:r>
            <w:r>
              <w:rPr>
                <w:lang w:val="en-US"/>
              </w:rPr>
              <w:t>new</w:t>
            </w:r>
            <w:r w:rsidRPr="00D41985">
              <w:rPr>
                <w:lang w:val="en-US"/>
              </w:rPr>
              <w:t xml:space="preserve"> </w:t>
            </w:r>
            <w:r w:rsidRPr="002732E5">
              <w:t>ЭРК</w:t>
            </w:r>
            <w:r w:rsidRPr="00D41985">
              <w:rPr>
                <w:lang w:val="en-US"/>
              </w:rPr>
              <w:t> </w:t>
            </w:r>
            <w:r w:rsidRPr="002732E5">
              <w:t>ШПС</w:t>
            </w:r>
            <w:r w:rsidRPr="00D41985">
              <w:rPr>
                <w:lang w:val="en-US"/>
              </w:rPr>
              <w:t xml:space="preserve"> </w:t>
            </w:r>
            <w:r>
              <w:rPr>
                <w:lang w:val="en-US"/>
              </w:rPr>
              <w:t>breadboard</w:t>
            </w:r>
            <w:r w:rsidRPr="00D41985">
              <w:rPr>
                <w:lang w:val="en-US"/>
              </w:rPr>
              <w:t xml:space="preserve"> </w:t>
            </w:r>
            <w:r>
              <w:rPr>
                <w:lang w:val="en-US"/>
              </w:rPr>
              <w:t>model</w:t>
            </w:r>
            <w:r w:rsidRPr="00D41985">
              <w:rPr>
                <w:lang w:val="en-US"/>
              </w:rPr>
              <w:t xml:space="preserve">: </w:t>
            </w:r>
          </w:p>
          <w:p w:rsidR="002732E5" w:rsidRPr="00504EB0" w:rsidRDefault="002732E5" w:rsidP="00504EB0">
            <w:pPr>
              <w:spacing w:line="276" w:lineRule="auto"/>
              <w:contextualSpacing/>
              <w:rPr>
                <w:lang w:val="en-US"/>
              </w:rPr>
            </w:pPr>
            <w:r w:rsidRPr="00CA4CE0">
              <w:rPr>
                <w:lang w:val="en-US"/>
              </w:rPr>
              <w:t xml:space="preserve">1 </w:t>
            </w:r>
            <w:r w:rsidR="00CA4CE0" w:rsidRPr="00CA4CE0">
              <w:rPr>
                <w:lang w:val="en-US"/>
              </w:rPr>
              <w:t>–</w:t>
            </w:r>
            <w:r w:rsidRPr="00CA4CE0">
              <w:rPr>
                <w:lang w:val="en-US"/>
              </w:rPr>
              <w:t xml:space="preserve"> </w:t>
            </w:r>
            <w:r w:rsidR="00CA4CE0">
              <w:rPr>
                <w:lang w:val="en-US"/>
              </w:rPr>
              <w:t>induction</w:t>
            </w:r>
            <w:r w:rsidR="00CA4CE0" w:rsidRPr="00CA4CE0">
              <w:rPr>
                <w:lang w:val="en-US"/>
              </w:rPr>
              <w:t xml:space="preserve"> </w:t>
            </w:r>
            <w:r w:rsidR="00CA4CE0">
              <w:rPr>
                <w:lang w:val="en-US"/>
              </w:rPr>
              <w:t>signal</w:t>
            </w:r>
            <w:r w:rsidR="00CA4CE0" w:rsidRPr="00CA4CE0">
              <w:rPr>
                <w:lang w:val="en-US"/>
              </w:rPr>
              <w:t xml:space="preserve"> </w:t>
            </w:r>
            <w:r w:rsidR="00CA4CE0">
              <w:rPr>
                <w:lang w:val="en-US"/>
              </w:rPr>
              <w:t>transmitter</w:t>
            </w:r>
            <w:r w:rsidRPr="00CA4CE0">
              <w:rPr>
                <w:lang w:val="en-US"/>
              </w:rPr>
              <w:t xml:space="preserve">; 2 </w:t>
            </w:r>
            <w:r w:rsidR="00CA4CE0" w:rsidRPr="00CA4CE0">
              <w:rPr>
                <w:lang w:val="en-US"/>
              </w:rPr>
              <w:t>–</w:t>
            </w:r>
            <w:r w:rsidRPr="00CA4CE0">
              <w:rPr>
                <w:lang w:val="en-US"/>
              </w:rPr>
              <w:t xml:space="preserve"> </w:t>
            </w:r>
            <w:r w:rsidR="00CA4CE0">
              <w:rPr>
                <w:lang w:val="en-US"/>
              </w:rPr>
              <w:t>power supply of the induction</w:t>
            </w:r>
            <w:r w:rsidR="00CA4CE0" w:rsidRPr="00CA4CE0">
              <w:rPr>
                <w:lang w:val="en-US"/>
              </w:rPr>
              <w:t xml:space="preserve"> </w:t>
            </w:r>
            <w:r w:rsidR="00CA4CE0">
              <w:rPr>
                <w:lang w:val="en-US"/>
              </w:rPr>
              <w:t>signal</w:t>
            </w:r>
            <w:r w:rsidR="00CA4CE0" w:rsidRPr="00CA4CE0">
              <w:rPr>
                <w:lang w:val="en-US"/>
              </w:rPr>
              <w:t xml:space="preserve"> </w:t>
            </w:r>
            <w:r w:rsidR="00CA4CE0">
              <w:rPr>
                <w:lang w:val="en-US"/>
              </w:rPr>
              <w:t>transmitter</w:t>
            </w:r>
            <w:r w:rsidRPr="00CA4CE0">
              <w:rPr>
                <w:lang w:val="en-US"/>
              </w:rPr>
              <w:t>; 3 –</w:t>
            </w:r>
            <w:r w:rsidR="00AD28B8">
              <w:rPr>
                <w:lang w:val="en-US"/>
              </w:rPr>
              <w:t xml:space="preserve"> calibration signal shaper</w:t>
            </w:r>
            <w:r w:rsidRPr="00CA4CE0">
              <w:rPr>
                <w:lang w:val="en-US"/>
              </w:rPr>
              <w:t xml:space="preserve">; 4 - </w:t>
            </w:r>
            <w:r w:rsidR="00AD28B8" w:rsidRPr="00AD28B8">
              <w:rPr>
                <w:lang w:val="en-US"/>
              </w:rPr>
              <w:t xml:space="preserve">signal filtering </w:t>
            </w:r>
            <w:r w:rsidR="00AD28B8">
              <w:rPr>
                <w:lang w:val="en-US"/>
              </w:rPr>
              <w:t>unit</w:t>
            </w:r>
            <w:r w:rsidRPr="00CA4CE0">
              <w:rPr>
                <w:lang w:val="en-US"/>
              </w:rPr>
              <w:t xml:space="preserve">; 5 </w:t>
            </w:r>
            <w:r w:rsidR="00504EB0">
              <w:rPr>
                <w:lang w:val="en-US"/>
              </w:rPr>
              <w:t>–</w:t>
            </w:r>
            <w:r w:rsidRPr="00CA4CE0">
              <w:rPr>
                <w:lang w:val="en-US"/>
              </w:rPr>
              <w:t xml:space="preserve"> </w:t>
            </w:r>
            <w:r w:rsidR="00504EB0">
              <w:rPr>
                <w:lang w:val="en-US"/>
              </w:rPr>
              <w:t xml:space="preserve">unit of signal control and record </w:t>
            </w:r>
            <w:r w:rsidRPr="00CA4CE0">
              <w:rPr>
                <w:lang w:val="en-US"/>
              </w:rPr>
              <w:t xml:space="preserve">; 6 </w:t>
            </w:r>
            <w:r w:rsidR="00504EB0">
              <w:rPr>
                <w:lang w:val="en-US"/>
              </w:rPr>
              <w:t>–</w:t>
            </w:r>
            <w:r w:rsidRPr="00CA4CE0">
              <w:rPr>
                <w:lang w:val="en-US"/>
              </w:rPr>
              <w:t xml:space="preserve"> </w:t>
            </w:r>
            <w:r w:rsidR="00504EB0">
              <w:rPr>
                <w:lang w:val="en-US"/>
              </w:rPr>
              <w:t>power supply of the unit of signal control and record</w:t>
            </w:r>
          </w:p>
        </w:tc>
      </w:tr>
    </w:tbl>
    <w:p w:rsidR="002732E5" w:rsidRPr="00CA4CE0" w:rsidRDefault="002732E5" w:rsidP="00AA60B1">
      <w:pPr>
        <w:spacing w:after="120" w:line="360" w:lineRule="auto"/>
        <w:ind w:firstLine="567"/>
        <w:jc w:val="both"/>
        <w:rPr>
          <w:lang w:val="en-US"/>
        </w:rPr>
      </w:pPr>
    </w:p>
    <w:p w:rsidR="002B2859" w:rsidRPr="00A94440" w:rsidRDefault="00A94440" w:rsidP="00AA60B1">
      <w:pPr>
        <w:spacing w:line="360" w:lineRule="auto"/>
        <w:rPr>
          <w:lang w:val="en-US"/>
        </w:rPr>
      </w:pPr>
      <w:r>
        <w:rPr>
          <w:b/>
          <w:i/>
          <w:lang w:val="en-US"/>
        </w:rPr>
        <w:lastRenderedPageBreak/>
        <w:t>Authors</w:t>
      </w:r>
      <w:r w:rsidR="002732E5" w:rsidRPr="00A94440">
        <w:rPr>
          <w:b/>
          <w:i/>
          <w:lang w:val="en-US"/>
        </w:rPr>
        <w:t>:</w:t>
      </w:r>
      <w:r w:rsidR="002732E5" w:rsidRPr="00A94440">
        <w:rPr>
          <w:lang w:val="en-US"/>
        </w:rPr>
        <w:t xml:space="preserve"> </w:t>
      </w:r>
    </w:p>
    <w:p w:rsidR="00A94440" w:rsidRDefault="00A94440" w:rsidP="00AA60B1">
      <w:pPr>
        <w:spacing w:line="360" w:lineRule="auto"/>
        <w:rPr>
          <w:lang w:val="en-US"/>
        </w:rPr>
      </w:pPr>
      <w:r>
        <w:rPr>
          <w:lang w:val="en-US"/>
        </w:rPr>
        <w:t>Pavel Ilyich</w:t>
      </w:r>
      <w:r w:rsidR="008E082D">
        <w:rPr>
          <w:lang w:val="en-US"/>
        </w:rPr>
        <w:t>ev, Vladimir Bobrovsky, Maksim L</w:t>
      </w:r>
      <w:r>
        <w:rPr>
          <w:lang w:val="en-US"/>
        </w:rPr>
        <w:t xml:space="preserve">isimov </w:t>
      </w:r>
    </w:p>
    <w:p w:rsidR="000B74A4" w:rsidRPr="008E082D" w:rsidRDefault="000B74A4" w:rsidP="00AA60B1">
      <w:pPr>
        <w:spacing w:line="360" w:lineRule="auto"/>
        <w:rPr>
          <w:lang w:val="en-US"/>
        </w:rPr>
      </w:pPr>
    </w:p>
    <w:p w:rsidR="002732E5" w:rsidRPr="002B2859" w:rsidRDefault="008E082D" w:rsidP="00AA60B1">
      <w:pPr>
        <w:spacing w:line="360" w:lineRule="auto"/>
        <w:rPr>
          <w:b/>
          <w:i/>
        </w:rPr>
      </w:pPr>
      <w:r>
        <w:rPr>
          <w:b/>
          <w:i/>
          <w:lang w:val="en-US"/>
        </w:rPr>
        <w:t>Publications</w:t>
      </w:r>
      <w:r w:rsidR="002732E5" w:rsidRPr="002B2859">
        <w:rPr>
          <w:b/>
          <w:i/>
        </w:rPr>
        <w:t>:</w:t>
      </w:r>
    </w:p>
    <w:p w:rsidR="002732E5" w:rsidRPr="0085023F" w:rsidRDefault="002732E5" w:rsidP="00AA60B1">
      <w:pPr>
        <w:pStyle w:val="a3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32E5">
        <w:rPr>
          <w:rFonts w:ascii="Times New Roman" w:hAnsi="Times New Roman" w:cs="Times New Roman"/>
          <w:sz w:val="24"/>
          <w:szCs w:val="24"/>
        </w:rPr>
        <w:t xml:space="preserve">Ильичев П.В. Оптимизация технических параметров и характеристик геоэлектроразведочного измерительного комплекса с шумоподобными сигналами // Проблемы геодинамики и геоэкологии внутриконтинентальных орогенов: Тезисы докладов </w:t>
      </w:r>
      <w:r w:rsidRPr="002732E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732E5">
        <w:rPr>
          <w:rFonts w:ascii="Times New Roman" w:hAnsi="Times New Roman" w:cs="Times New Roman"/>
          <w:sz w:val="24"/>
          <w:szCs w:val="24"/>
        </w:rPr>
        <w:t xml:space="preserve"> Международного симпозиума, г. Бишкек, 19-24 июня 2017 г. – Бишкек: НС РАН, 2017. – с. 409-412.</w:t>
      </w:r>
    </w:p>
    <w:p w:rsidR="0085023F" w:rsidRPr="00DC2BB7" w:rsidRDefault="0085023F" w:rsidP="00AA60B1">
      <w:pPr>
        <w:pStyle w:val="a3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1F50">
        <w:rPr>
          <w:rFonts w:ascii="Times New Roman" w:hAnsi="Times New Roman" w:cs="Times New Roman"/>
          <w:color w:val="000000"/>
          <w:sz w:val="24"/>
          <w:szCs w:val="24"/>
        </w:rPr>
        <w:t>Лашин О.А. Разработка блока управления и регистрации сигналов для геоэлектроразведочного измерительного комп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лекса с шумоподобными сигналами // </w:t>
      </w:r>
      <w:r w:rsidRPr="007D1F50">
        <w:rPr>
          <w:rFonts w:ascii="Times New Roman" w:hAnsi="Times New Roman" w:cs="Times New Roman"/>
          <w:bCs/>
          <w:color w:val="000000"/>
          <w:sz w:val="24"/>
          <w:szCs w:val="24"/>
        </w:rPr>
        <w:t>Современные техника и технологии в научных исследованиях: Сборник материалов</w:t>
      </w:r>
      <w:r w:rsidRPr="007D1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1F50">
        <w:rPr>
          <w:rFonts w:ascii="Times New Roman" w:hAnsi="Times New Roman" w:cs="Times New Roman"/>
          <w:bCs/>
          <w:color w:val="000000"/>
          <w:sz w:val="24"/>
          <w:szCs w:val="24"/>
        </w:rPr>
        <w:t>IX Международной конферен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ции молодых ученых и студентов.–</w:t>
      </w:r>
      <w:r w:rsidR="00FE4813" w:rsidRPr="001766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D1F50">
        <w:rPr>
          <w:rFonts w:ascii="Times New Roman" w:hAnsi="Times New Roman" w:cs="Times New Roman"/>
          <w:color w:val="000000"/>
          <w:sz w:val="24"/>
          <w:szCs w:val="24"/>
        </w:rPr>
        <w:t>Бишкек: НС РАН, 2017. 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84-92</w:t>
      </w:r>
      <w:r w:rsidRPr="0085023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766CF" w:rsidRDefault="001766CF" w:rsidP="00AA60B1">
      <w:pPr>
        <w:spacing w:line="360" w:lineRule="auto"/>
        <w:jc w:val="center"/>
        <w:rPr>
          <w:b/>
        </w:rPr>
      </w:pPr>
    </w:p>
    <w:p w:rsidR="002B2859" w:rsidRPr="007E0E9D" w:rsidRDefault="00ED31DD" w:rsidP="00AA60B1">
      <w:pPr>
        <w:spacing w:line="360" w:lineRule="auto"/>
        <w:jc w:val="center"/>
        <w:rPr>
          <w:b/>
          <w:lang w:val="en-US"/>
        </w:rPr>
      </w:pPr>
      <w:r>
        <w:rPr>
          <w:b/>
          <w:lang w:val="en-US"/>
        </w:rPr>
        <w:t>Result</w:t>
      </w:r>
      <w:r w:rsidR="002B2859" w:rsidRPr="007E0E9D">
        <w:rPr>
          <w:b/>
          <w:lang w:val="en-US"/>
        </w:rPr>
        <w:t xml:space="preserve"> №2</w:t>
      </w:r>
    </w:p>
    <w:p w:rsidR="007E0E9D" w:rsidRDefault="007E0E9D" w:rsidP="00344CDC">
      <w:pPr>
        <w:spacing w:line="360" w:lineRule="auto"/>
        <w:ind w:firstLine="709"/>
        <w:jc w:val="both"/>
        <w:rPr>
          <w:b/>
          <w:lang w:val="en-US"/>
        </w:rPr>
      </w:pPr>
      <w:r>
        <w:rPr>
          <w:b/>
          <w:lang w:val="en-US"/>
        </w:rPr>
        <w:t xml:space="preserve">Space-time relationship between local seismicity and variations of deformation state of the Earth’s crust was registered at the territory of Bishkek Geodynamic Proving Ground (Northern Tien Shan). </w:t>
      </w:r>
    </w:p>
    <w:p w:rsidR="00344CDC" w:rsidRPr="00353FD8" w:rsidRDefault="00344CDC" w:rsidP="00AA60B1">
      <w:pPr>
        <w:spacing w:line="360" w:lineRule="auto"/>
        <w:ind w:firstLine="708"/>
        <w:jc w:val="both"/>
        <w:rPr>
          <w:lang w:val="en-US"/>
        </w:rPr>
      </w:pPr>
      <w:r>
        <w:rPr>
          <w:lang w:val="en-US"/>
        </w:rPr>
        <w:t>Results of linear-angular and GPS observations in comparison with seismici</w:t>
      </w:r>
      <w:r w:rsidR="00B4381F">
        <w:rPr>
          <w:lang w:val="en-US"/>
        </w:rPr>
        <w:t>ty and source mechanisms made</w:t>
      </w:r>
      <w:r>
        <w:rPr>
          <w:lang w:val="en-US"/>
        </w:rPr>
        <w:t xml:space="preserve"> possible to estimate geodynamic environment during local earthquake of 10 energy class. </w:t>
      </w:r>
      <w:r w:rsidR="00353FD8">
        <w:rPr>
          <w:lang w:val="en-US"/>
        </w:rPr>
        <w:t xml:space="preserve">Several days before the earthquake, </w:t>
      </w:r>
      <w:r w:rsidR="00D013EB">
        <w:rPr>
          <w:lang w:val="en-US"/>
        </w:rPr>
        <w:t>GPS data</w:t>
      </w:r>
      <w:r w:rsidR="00B4381F">
        <w:rPr>
          <w:lang w:val="en-US"/>
        </w:rPr>
        <w:t xml:space="preserve"> showed the lowering of the E</w:t>
      </w:r>
      <w:r w:rsidR="00353FD8">
        <w:rPr>
          <w:lang w:val="en-US"/>
        </w:rPr>
        <w:t>arth</w:t>
      </w:r>
      <w:r w:rsidR="00B4381F">
        <w:rPr>
          <w:lang w:val="en-US"/>
        </w:rPr>
        <w:t>’s</w:t>
      </w:r>
      <w:bookmarkStart w:id="0" w:name="_GoBack"/>
      <w:bookmarkEnd w:id="0"/>
      <w:r w:rsidR="00353FD8">
        <w:rPr>
          <w:lang w:val="en-US"/>
        </w:rPr>
        <w:t xml:space="preserve"> surface with amplitude up to 20 mm in this area. 5 days before and 2 days after the event, optical range measurements showed the increasing of lengths of lines crossing the Shamsi Fault </w:t>
      </w:r>
      <w:r w:rsidR="00FA4274">
        <w:rPr>
          <w:lang w:val="en-US"/>
        </w:rPr>
        <w:t xml:space="preserve">on average </w:t>
      </w:r>
      <w:r w:rsidR="00353FD8">
        <w:rPr>
          <w:lang w:val="en-US"/>
        </w:rPr>
        <w:t xml:space="preserve">by 8 mm within </w:t>
      </w:r>
      <w:r w:rsidR="00353FD8" w:rsidRPr="00353FD8">
        <w:rPr>
          <w:lang w:val="en-US"/>
        </w:rPr>
        <w:t>~</w:t>
      </w:r>
      <w:r w:rsidR="00353FD8">
        <w:rPr>
          <w:lang w:val="en-US"/>
        </w:rPr>
        <w:t xml:space="preserve">2 km from the earthquake source. </w:t>
      </w:r>
      <w:r w:rsidR="00816FA5">
        <w:rPr>
          <w:lang w:val="en-US"/>
        </w:rPr>
        <w:t xml:space="preserve">Such increasing of fault width corresponds to variations of tectonic stresses </w:t>
      </w:r>
      <w:r w:rsidR="00816FA5" w:rsidRPr="00816FA5">
        <w:rPr>
          <w:lang w:val="en-US"/>
        </w:rPr>
        <w:t>~7</w:t>
      </w:r>
      <w:r w:rsidR="00816FA5">
        <w:rPr>
          <w:lang w:val="en-US"/>
        </w:rPr>
        <w:t xml:space="preserve">MPa near the fault. </w:t>
      </w:r>
    </w:p>
    <w:p w:rsidR="006B2E03" w:rsidRPr="00B4381F" w:rsidRDefault="006B2E03" w:rsidP="00AA60B1">
      <w:pPr>
        <w:spacing w:line="360" w:lineRule="auto"/>
        <w:rPr>
          <w:lang w:val="en-US"/>
        </w:rPr>
      </w:pPr>
    </w:p>
    <w:tbl>
      <w:tblPr>
        <w:tblW w:w="9426" w:type="dxa"/>
        <w:jc w:val="center"/>
        <w:tblLook w:val="01E0" w:firstRow="1" w:lastRow="1" w:firstColumn="1" w:lastColumn="1" w:noHBand="0" w:noVBand="0"/>
      </w:tblPr>
      <w:tblGrid>
        <w:gridCol w:w="9426"/>
      </w:tblGrid>
      <w:tr w:rsidR="006B2E03" w:rsidRPr="002732E5" w:rsidTr="00445E12">
        <w:trPr>
          <w:jc w:val="center"/>
        </w:trPr>
        <w:tc>
          <w:tcPr>
            <w:tcW w:w="9426" w:type="dxa"/>
            <w:shd w:val="clear" w:color="auto" w:fill="auto"/>
          </w:tcPr>
          <w:p w:rsidR="006B2E03" w:rsidRPr="002732E5" w:rsidRDefault="006B2E03" w:rsidP="00AA60B1">
            <w:pPr>
              <w:spacing w:before="120" w:line="360" w:lineRule="auto"/>
              <w:jc w:val="center"/>
            </w:pPr>
            <w:r w:rsidRPr="002732E5">
              <w:rPr>
                <w:noProof/>
              </w:rPr>
              <w:lastRenderedPageBreak/>
              <w:drawing>
                <wp:inline distT="0" distB="0" distL="0" distR="0" wp14:anchorId="4E64F8A3" wp14:editId="12A376BC">
                  <wp:extent cx="5814481" cy="28282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228" cy="283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03" w:rsidRPr="002732E5" w:rsidTr="00333857">
        <w:trPr>
          <w:trHeight w:val="1667"/>
          <w:jc w:val="center"/>
        </w:trPr>
        <w:tc>
          <w:tcPr>
            <w:tcW w:w="9426" w:type="dxa"/>
            <w:shd w:val="clear" w:color="auto" w:fill="auto"/>
          </w:tcPr>
          <w:p w:rsidR="006B2E03" w:rsidRPr="00333857" w:rsidRDefault="0014225C" w:rsidP="0014225C">
            <w:pPr>
              <w:pStyle w:val="ab"/>
              <w:rPr>
                <w:lang w:val="en-US"/>
              </w:rPr>
            </w:pPr>
            <w:r w:rsidRPr="00C51347">
              <w:rPr>
                <w:lang w:val="en-US"/>
              </w:rPr>
              <w:t>Figure</w:t>
            </w:r>
            <w:r w:rsidR="006B2E03" w:rsidRPr="00C51347">
              <w:rPr>
                <w:lang w:val="en-US"/>
              </w:rPr>
              <w:t>.</w:t>
            </w:r>
            <w:r w:rsidR="00C51347">
              <w:rPr>
                <w:lang w:val="en-US"/>
              </w:rPr>
              <w:t xml:space="preserve"> Layout of researched area showing the location of grounds (sites and their numbers) of linear-angular observations POLIGON, KENTOR and ALMALY (1), GPS sites </w:t>
            </w:r>
            <w:r w:rsidR="00C51347" w:rsidRPr="00C51347">
              <w:rPr>
                <w:lang w:val="en-US"/>
              </w:rPr>
              <w:t>IATA, IAT3, POL2, CHUM (2)</w:t>
            </w:r>
            <w:r w:rsidR="00C51347">
              <w:rPr>
                <w:lang w:val="en-US"/>
              </w:rPr>
              <w:t xml:space="preserve">, </w:t>
            </w:r>
            <w:r w:rsidR="00333857">
              <w:rPr>
                <w:lang w:val="en-US"/>
              </w:rPr>
              <w:t xml:space="preserve">transient electromagnetics stations (3) and seismic focus (4)  - focal mechanism. Lines – active faults. </w:t>
            </w:r>
          </w:p>
        </w:tc>
      </w:tr>
    </w:tbl>
    <w:p w:rsidR="00450E1A" w:rsidRDefault="00450E1A" w:rsidP="00AA60B1">
      <w:pPr>
        <w:spacing w:line="360" w:lineRule="auto"/>
        <w:jc w:val="both"/>
        <w:rPr>
          <w:b/>
          <w:i/>
        </w:rPr>
      </w:pPr>
    </w:p>
    <w:p w:rsidR="006B2E03" w:rsidRPr="002732E5" w:rsidRDefault="00ED31DD" w:rsidP="00AA60B1">
      <w:pPr>
        <w:spacing w:line="360" w:lineRule="auto"/>
        <w:jc w:val="both"/>
        <w:rPr>
          <w:b/>
          <w:i/>
        </w:rPr>
      </w:pPr>
      <w:r>
        <w:rPr>
          <w:b/>
          <w:i/>
          <w:lang w:val="en-US"/>
        </w:rPr>
        <w:t>Authors</w:t>
      </w:r>
      <w:r w:rsidR="006B2E03" w:rsidRPr="002732E5">
        <w:rPr>
          <w:b/>
          <w:i/>
        </w:rPr>
        <w:t xml:space="preserve">: </w:t>
      </w:r>
    </w:p>
    <w:p w:rsidR="00450E1A" w:rsidRPr="00ED31DD" w:rsidRDefault="00ED31DD" w:rsidP="00AA60B1">
      <w:pPr>
        <w:spacing w:line="360" w:lineRule="auto"/>
        <w:jc w:val="both"/>
        <w:rPr>
          <w:lang w:val="en-US"/>
        </w:rPr>
      </w:pPr>
      <w:r>
        <w:rPr>
          <w:lang w:val="en-US"/>
        </w:rPr>
        <w:t>Sergey</w:t>
      </w:r>
      <w:r w:rsidRPr="00ED31DD">
        <w:rPr>
          <w:lang w:val="en-US"/>
        </w:rPr>
        <w:t xml:space="preserve"> </w:t>
      </w:r>
      <w:r>
        <w:rPr>
          <w:lang w:val="en-US"/>
        </w:rPr>
        <w:t>Kuzikov</w:t>
      </w:r>
      <w:r w:rsidRPr="00ED31DD">
        <w:rPr>
          <w:lang w:val="en-US"/>
        </w:rPr>
        <w:t xml:space="preserve">, </w:t>
      </w:r>
      <w:r>
        <w:rPr>
          <w:lang w:val="en-US"/>
        </w:rPr>
        <w:t>Vitaly</w:t>
      </w:r>
      <w:r w:rsidRPr="00ED31DD">
        <w:rPr>
          <w:lang w:val="en-US"/>
        </w:rPr>
        <w:t xml:space="preserve"> </w:t>
      </w:r>
      <w:r>
        <w:rPr>
          <w:lang w:val="en-US"/>
        </w:rPr>
        <w:t>Bragin</w:t>
      </w:r>
      <w:r w:rsidRPr="00ED31DD">
        <w:rPr>
          <w:lang w:val="en-US"/>
        </w:rPr>
        <w:t xml:space="preserve">, </w:t>
      </w:r>
      <w:r>
        <w:rPr>
          <w:lang w:val="en-US"/>
        </w:rPr>
        <w:t>Nelya Sycheva</w:t>
      </w:r>
      <w:r w:rsidRPr="00ED31DD">
        <w:rPr>
          <w:lang w:val="en-US"/>
        </w:rPr>
        <w:t xml:space="preserve"> </w:t>
      </w:r>
    </w:p>
    <w:p w:rsidR="00ED31DD" w:rsidRPr="00ED31DD" w:rsidRDefault="00ED31DD" w:rsidP="00AA60B1">
      <w:pPr>
        <w:spacing w:line="360" w:lineRule="auto"/>
        <w:jc w:val="both"/>
        <w:rPr>
          <w:lang w:val="en-US"/>
        </w:rPr>
      </w:pPr>
    </w:p>
    <w:p w:rsidR="00ED31DD" w:rsidRPr="00B4381F" w:rsidRDefault="00ED31DD" w:rsidP="00AA60B1">
      <w:pPr>
        <w:spacing w:line="360" w:lineRule="auto"/>
        <w:jc w:val="both"/>
        <w:rPr>
          <w:b/>
          <w:i/>
        </w:rPr>
      </w:pPr>
      <w:r>
        <w:rPr>
          <w:b/>
          <w:i/>
          <w:lang w:val="en-US"/>
        </w:rPr>
        <w:t>Publications</w:t>
      </w:r>
      <w:r w:rsidR="006B2E03" w:rsidRPr="002732E5">
        <w:rPr>
          <w:b/>
          <w:i/>
        </w:rPr>
        <w:t xml:space="preserve">: </w:t>
      </w:r>
    </w:p>
    <w:p w:rsidR="006B2E03" w:rsidRPr="002732E5" w:rsidRDefault="006B2E03" w:rsidP="00AA60B1">
      <w:pPr>
        <w:spacing w:line="360" w:lineRule="auto"/>
        <w:jc w:val="both"/>
      </w:pPr>
      <w:r w:rsidRPr="002732E5">
        <w:t>Соболев Г.А., Кузиков С.И., Брагин В.Д., Сычева Н.А. Изменение деформаций на территории геодинамического полигона на Тянь-Шане и местное землетрясение 12.02.2013 г. // Геофизические исследования. 2017. Т.18. №3. С.45-59.</w:t>
      </w:r>
    </w:p>
    <w:p w:rsidR="00032B24" w:rsidRPr="002732E5" w:rsidRDefault="00032B24" w:rsidP="00AA60B1">
      <w:pPr>
        <w:spacing w:line="360" w:lineRule="auto"/>
      </w:pPr>
    </w:p>
    <w:sectPr w:rsidR="00032B24" w:rsidRPr="002732E5" w:rsidSect="009969DF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473" w:rsidRDefault="00042473" w:rsidP="002B2859">
      <w:r>
        <w:separator/>
      </w:r>
    </w:p>
  </w:endnote>
  <w:endnote w:type="continuationSeparator" w:id="0">
    <w:p w:rsidR="00042473" w:rsidRDefault="00042473" w:rsidP="002B2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859" w:rsidRDefault="002B285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4381F">
      <w:rPr>
        <w:noProof/>
      </w:rPr>
      <w:t>1</w:t>
    </w:r>
    <w:r>
      <w:fldChar w:fldCharType="end"/>
    </w:r>
  </w:p>
  <w:p w:rsidR="002B2859" w:rsidRDefault="002B28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473" w:rsidRDefault="00042473" w:rsidP="002B2859">
      <w:r>
        <w:separator/>
      </w:r>
    </w:p>
  </w:footnote>
  <w:footnote w:type="continuationSeparator" w:id="0">
    <w:p w:rsidR="00042473" w:rsidRDefault="00042473" w:rsidP="002B28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F128E"/>
    <w:multiLevelType w:val="hybridMultilevel"/>
    <w:tmpl w:val="6D6AED2A"/>
    <w:lvl w:ilvl="0" w:tplc="5A1446FA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CC4C4D"/>
    <w:multiLevelType w:val="hybridMultilevel"/>
    <w:tmpl w:val="4846F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558A8"/>
    <w:multiLevelType w:val="hybridMultilevel"/>
    <w:tmpl w:val="89725FC8"/>
    <w:lvl w:ilvl="0" w:tplc="B2785844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A52"/>
    <w:rsid w:val="00032B24"/>
    <w:rsid w:val="00042473"/>
    <w:rsid w:val="000B74A4"/>
    <w:rsid w:val="000C6CBA"/>
    <w:rsid w:val="0014225C"/>
    <w:rsid w:val="001766CF"/>
    <w:rsid w:val="001C5DA6"/>
    <w:rsid w:val="00216B97"/>
    <w:rsid w:val="002403DD"/>
    <w:rsid w:val="002732E5"/>
    <w:rsid w:val="002A288C"/>
    <w:rsid w:val="002B2859"/>
    <w:rsid w:val="00302F4B"/>
    <w:rsid w:val="00333857"/>
    <w:rsid w:val="00344CDC"/>
    <w:rsid w:val="00353FD8"/>
    <w:rsid w:val="00450E1A"/>
    <w:rsid w:val="00504EB0"/>
    <w:rsid w:val="005104A9"/>
    <w:rsid w:val="005500CA"/>
    <w:rsid w:val="005A43AD"/>
    <w:rsid w:val="006535C9"/>
    <w:rsid w:val="006571FC"/>
    <w:rsid w:val="006B2E03"/>
    <w:rsid w:val="006F39FB"/>
    <w:rsid w:val="006F3F59"/>
    <w:rsid w:val="00732F86"/>
    <w:rsid w:val="007E0E9D"/>
    <w:rsid w:val="007E4428"/>
    <w:rsid w:val="00816FA5"/>
    <w:rsid w:val="008467EF"/>
    <w:rsid w:val="0085023F"/>
    <w:rsid w:val="008E082D"/>
    <w:rsid w:val="00931A52"/>
    <w:rsid w:val="009479B1"/>
    <w:rsid w:val="0095724B"/>
    <w:rsid w:val="009969DF"/>
    <w:rsid w:val="00A52980"/>
    <w:rsid w:val="00A905CE"/>
    <w:rsid w:val="00A94440"/>
    <w:rsid w:val="00AA60B1"/>
    <w:rsid w:val="00AD28B8"/>
    <w:rsid w:val="00B4381F"/>
    <w:rsid w:val="00BC07A6"/>
    <w:rsid w:val="00BC779E"/>
    <w:rsid w:val="00BD2ECD"/>
    <w:rsid w:val="00BE7C43"/>
    <w:rsid w:val="00C51347"/>
    <w:rsid w:val="00C54CAB"/>
    <w:rsid w:val="00C87773"/>
    <w:rsid w:val="00CA4CE0"/>
    <w:rsid w:val="00D013EB"/>
    <w:rsid w:val="00D41985"/>
    <w:rsid w:val="00D83ED7"/>
    <w:rsid w:val="00DC0E80"/>
    <w:rsid w:val="00DD264C"/>
    <w:rsid w:val="00DE0887"/>
    <w:rsid w:val="00E22D30"/>
    <w:rsid w:val="00E61CDB"/>
    <w:rsid w:val="00ED31DD"/>
    <w:rsid w:val="00FA4274"/>
    <w:rsid w:val="00FD7097"/>
    <w:rsid w:val="00FE4813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B5BBE-32F4-42D4-8EC0-FCF2CEE4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69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422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2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39"/>
    <w:rsid w:val="0027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28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B28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B28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B28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8777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777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142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4225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secretary</cp:lastModifiedBy>
  <cp:revision>47</cp:revision>
  <dcterms:created xsi:type="dcterms:W3CDTF">2017-12-08T05:45:00Z</dcterms:created>
  <dcterms:modified xsi:type="dcterms:W3CDTF">2017-12-19T02:10:00Z</dcterms:modified>
</cp:coreProperties>
</file>